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84D5E" w14:textId="7295C9E0" w:rsidR="004A385F" w:rsidRDefault="004A385F" w:rsidP="004A385F">
      <w:pPr>
        <w:rPr>
          <w:rFonts w:ascii="Open Sans" w:hAnsi="Open Sans" w:cs="Open Sans"/>
          <w:b/>
          <w:bCs/>
          <w:sz w:val="20"/>
          <w:szCs w:val="20"/>
          <w:lang w:val="en-US"/>
        </w:rPr>
      </w:pPr>
      <w:r>
        <w:rPr>
          <w:rFonts w:ascii="Open Sans" w:hAnsi="Open Sans" w:cs="Open Sans"/>
          <w:b/>
          <w:bCs/>
          <w:noProof/>
          <w:sz w:val="20"/>
          <w:szCs w:val="20"/>
          <w:lang w:val="en-US"/>
        </w:rPr>
        <w:drawing>
          <wp:anchor distT="0" distB="0" distL="114300" distR="114300" simplePos="0" relativeHeight="251658240" behindDoc="0" locked="0" layoutInCell="1" allowOverlap="1" wp14:anchorId="5DD285C4" wp14:editId="201E0DA0">
            <wp:simplePos x="0" y="0"/>
            <wp:positionH relativeFrom="page">
              <wp:align>right</wp:align>
            </wp:positionH>
            <wp:positionV relativeFrom="paragraph">
              <wp:posOffset>-895985</wp:posOffset>
            </wp:positionV>
            <wp:extent cx="7553325" cy="1510665"/>
            <wp:effectExtent l="0" t="0" r="9525" b="0"/>
            <wp:wrapNone/>
            <wp:docPr id="94502624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026248" name="Afbeelding 945026248"/>
                    <pic:cNvPicPr/>
                  </pic:nvPicPr>
                  <pic:blipFill>
                    <a:blip r:embed="rId7">
                      <a:extLst>
                        <a:ext uri="{28A0092B-C50C-407E-A947-70E740481C1C}">
                          <a14:useLocalDpi xmlns:a14="http://schemas.microsoft.com/office/drawing/2010/main" val="0"/>
                        </a:ext>
                      </a:extLst>
                    </a:blip>
                    <a:stretch>
                      <a:fillRect/>
                    </a:stretch>
                  </pic:blipFill>
                  <pic:spPr>
                    <a:xfrm>
                      <a:off x="0" y="0"/>
                      <a:ext cx="7553325" cy="1510665"/>
                    </a:xfrm>
                    <a:prstGeom prst="rect">
                      <a:avLst/>
                    </a:prstGeom>
                  </pic:spPr>
                </pic:pic>
              </a:graphicData>
            </a:graphic>
            <wp14:sizeRelH relativeFrom="page">
              <wp14:pctWidth>0</wp14:pctWidth>
            </wp14:sizeRelH>
            <wp14:sizeRelV relativeFrom="page">
              <wp14:pctHeight>0</wp14:pctHeight>
            </wp14:sizeRelV>
          </wp:anchor>
        </w:drawing>
      </w:r>
    </w:p>
    <w:p w14:paraId="417B736F" w14:textId="77777777" w:rsidR="004A385F" w:rsidRDefault="004A385F" w:rsidP="004A385F">
      <w:pPr>
        <w:rPr>
          <w:rFonts w:ascii="Open Sans" w:hAnsi="Open Sans" w:cs="Open Sans"/>
          <w:b/>
          <w:bCs/>
          <w:sz w:val="20"/>
          <w:szCs w:val="20"/>
          <w:lang w:val="en-US"/>
        </w:rPr>
      </w:pPr>
    </w:p>
    <w:p w14:paraId="05DF9665" w14:textId="77777777" w:rsidR="004A385F" w:rsidRDefault="004A385F" w:rsidP="004A385F">
      <w:pPr>
        <w:rPr>
          <w:rFonts w:ascii="Open Sans" w:hAnsi="Open Sans" w:cs="Open Sans"/>
          <w:b/>
          <w:bCs/>
          <w:sz w:val="20"/>
          <w:szCs w:val="20"/>
          <w:lang w:val="en-US"/>
        </w:rPr>
      </w:pPr>
    </w:p>
    <w:p w14:paraId="1A5DF9D1" w14:textId="3BFD7789" w:rsidR="004A385F" w:rsidRDefault="004A385F" w:rsidP="004A385F">
      <w:pPr>
        <w:rPr>
          <w:rFonts w:ascii="Open Sans" w:hAnsi="Open Sans" w:cs="Open Sans"/>
          <w:b/>
          <w:bCs/>
          <w:sz w:val="20"/>
          <w:szCs w:val="20"/>
          <w:lang w:val="en-US"/>
        </w:rPr>
      </w:pPr>
      <w:r w:rsidRPr="0023052E">
        <w:rPr>
          <w:rFonts w:ascii="Open Sans" w:hAnsi="Open Sans" w:cs="Open Sans"/>
          <w:b/>
          <w:bCs/>
          <w:sz w:val="20"/>
          <w:szCs w:val="20"/>
          <w:lang w:val="en-US"/>
        </w:rPr>
        <w:t>Press Release – Kortrijk (BE), 17 July 2025</w:t>
      </w:r>
    </w:p>
    <w:p w14:paraId="69A0AFD2" w14:textId="224573CF" w:rsidR="004A385F" w:rsidRPr="0023052E" w:rsidRDefault="004A385F" w:rsidP="004A385F">
      <w:pPr>
        <w:rPr>
          <w:rFonts w:ascii="Open Sans" w:hAnsi="Open Sans" w:cs="Open Sans"/>
          <w:lang w:val="en-US"/>
        </w:rPr>
      </w:pPr>
      <w:r w:rsidRPr="0023052E">
        <w:rPr>
          <w:rFonts w:ascii="Open Sans" w:hAnsi="Open Sans" w:cs="Open Sans"/>
          <w:b/>
          <w:bCs/>
          <w:lang w:val="en-US"/>
        </w:rPr>
        <w:t>Sustainable Solutions Kortrijk 2025: Smart Integration at the Heart of the Energy Transition</w:t>
      </w:r>
    </w:p>
    <w:p w14:paraId="54860439" w14:textId="5C702FC9" w:rsidR="004A385F" w:rsidRPr="0023052E" w:rsidRDefault="004A385F" w:rsidP="004A385F">
      <w:pPr>
        <w:rPr>
          <w:rFonts w:ascii="Open Sans" w:hAnsi="Open Sans" w:cs="Open Sans"/>
          <w:sz w:val="20"/>
          <w:szCs w:val="20"/>
          <w:lang w:val="en-US"/>
        </w:rPr>
      </w:pPr>
      <w:r w:rsidRPr="0023052E">
        <w:rPr>
          <w:rFonts w:ascii="Open Sans" w:hAnsi="Open Sans" w:cs="Open Sans"/>
          <w:sz w:val="20"/>
          <w:szCs w:val="20"/>
          <w:lang w:val="en-US"/>
        </w:rPr>
        <w:t xml:space="preserve">On 8 and 9 October 2025, Kortrijk Xpo will host the third edition of </w:t>
      </w:r>
      <w:r w:rsidRPr="0023052E">
        <w:rPr>
          <w:rFonts w:ascii="Open Sans" w:hAnsi="Open Sans" w:cs="Open Sans"/>
          <w:b/>
          <w:bCs/>
          <w:sz w:val="20"/>
          <w:szCs w:val="20"/>
          <w:lang w:val="en-US"/>
        </w:rPr>
        <w:t>Sustainable Solutions Kortrijk</w:t>
      </w:r>
      <w:r w:rsidRPr="0023052E">
        <w:rPr>
          <w:rFonts w:ascii="Open Sans" w:hAnsi="Open Sans" w:cs="Open Sans"/>
          <w:sz w:val="20"/>
          <w:szCs w:val="20"/>
          <w:lang w:val="en-US"/>
        </w:rPr>
        <w:t>. Following the successful 2024 edition under the name Solar Solutions, this year the event places a strong focus on system integration. With four core pillars</w:t>
      </w:r>
      <w:r>
        <w:rPr>
          <w:rFonts w:ascii="Open Sans" w:hAnsi="Open Sans" w:cs="Open Sans"/>
          <w:sz w:val="20"/>
          <w:szCs w:val="20"/>
          <w:lang w:val="en-US"/>
        </w:rPr>
        <w:t xml:space="preserve">: </w:t>
      </w:r>
      <w:r w:rsidRPr="0023052E">
        <w:rPr>
          <w:rFonts w:ascii="Open Sans" w:hAnsi="Open Sans" w:cs="Open Sans"/>
          <w:b/>
          <w:bCs/>
          <w:sz w:val="20"/>
          <w:szCs w:val="20"/>
          <w:lang w:val="en-US"/>
        </w:rPr>
        <w:t>Solar, Smart Storage, EV Charging, and Green HVAC</w:t>
      </w:r>
      <w:r w:rsidRPr="0023052E">
        <w:rPr>
          <w:rFonts w:ascii="Open Sans" w:hAnsi="Open Sans" w:cs="Open Sans"/>
          <w:sz w:val="20"/>
          <w:szCs w:val="20"/>
          <w:lang w:val="en-US"/>
        </w:rPr>
        <w:t xml:space="preserve">—the </w:t>
      </w:r>
      <w:r>
        <w:rPr>
          <w:rFonts w:ascii="Open Sans" w:hAnsi="Open Sans" w:cs="Open Sans"/>
          <w:sz w:val="20"/>
          <w:szCs w:val="20"/>
          <w:lang w:val="en-US"/>
        </w:rPr>
        <w:t>exhibition</w:t>
      </w:r>
      <w:r w:rsidRPr="0023052E">
        <w:rPr>
          <w:rFonts w:ascii="Open Sans" w:hAnsi="Open Sans" w:cs="Open Sans"/>
          <w:sz w:val="20"/>
          <w:szCs w:val="20"/>
          <w:lang w:val="en-US"/>
        </w:rPr>
        <w:t xml:space="preserve"> responds to the growing demand for integrated solutions in an increasingly complex energy landscape.</w:t>
      </w:r>
    </w:p>
    <w:p w14:paraId="345CDEFE" w14:textId="77777777" w:rsidR="004A385F" w:rsidRPr="0023052E" w:rsidRDefault="004A385F" w:rsidP="004A385F">
      <w:pPr>
        <w:rPr>
          <w:rFonts w:ascii="Open Sans" w:hAnsi="Open Sans" w:cs="Open Sans"/>
          <w:sz w:val="20"/>
          <w:szCs w:val="20"/>
          <w:lang w:val="en-US"/>
        </w:rPr>
      </w:pPr>
      <w:r w:rsidRPr="0023052E">
        <w:rPr>
          <w:rFonts w:ascii="Open Sans" w:hAnsi="Open Sans" w:cs="Open Sans"/>
          <w:b/>
          <w:bCs/>
          <w:sz w:val="20"/>
          <w:szCs w:val="20"/>
          <w:lang w:val="en-US"/>
        </w:rPr>
        <w:t xml:space="preserve">Critical </w:t>
      </w:r>
      <w:r>
        <w:rPr>
          <w:rFonts w:ascii="Open Sans" w:hAnsi="Open Sans" w:cs="Open Sans"/>
          <w:b/>
          <w:bCs/>
          <w:sz w:val="20"/>
          <w:szCs w:val="20"/>
          <w:lang w:val="en-US"/>
        </w:rPr>
        <w:t>t</w:t>
      </w:r>
      <w:r w:rsidRPr="0023052E">
        <w:rPr>
          <w:rFonts w:ascii="Open Sans" w:hAnsi="Open Sans" w:cs="Open Sans"/>
          <w:b/>
          <w:bCs/>
          <w:sz w:val="20"/>
          <w:szCs w:val="20"/>
          <w:lang w:val="en-US"/>
        </w:rPr>
        <w:t xml:space="preserve">hemes in the </w:t>
      </w:r>
      <w:r>
        <w:rPr>
          <w:rFonts w:ascii="Open Sans" w:hAnsi="Open Sans" w:cs="Open Sans"/>
          <w:b/>
          <w:bCs/>
          <w:sz w:val="20"/>
          <w:szCs w:val="20"/>
          <w:lang w:val="en-US"/>
        </w:rPr>
        <w:t>s</w:t>
      </w:r>
      <w:r w:rsidRPr="0023052E">
        <w:rPr>
          <w:rFonts w:ascii="Open Sans" w:hAnsi="Open Sans" w:cs="Open Sans"/>
          <w:b/>
          <w:bCs/>
          <w:sz w:val="20"/>
          <w:szCs w:val="20"/>
          <w:lang w:val="en-US"/>
        </w:rPr>
        <w:t>potlight</w:t>
      </w:r>
      <w:r>
        <w:rPr>
          <w:rFonts w:ascii="Open Sans" w:hAnsi="Open Sans" w:cs="Open Sans"/>
          <w:b/>
          <w:bCs/>
          <w:sz w:val="20"/>
          <w:szCs w:val="20"/>
          <w:lang w:val="en-US"/>
        </w:rPr>
        <w:br/>
      </w:r>
      <w:r w:rsidRPr="0023052E">
        <w:rPr>
          <w:rFonts w:ascii="Open Sans" w:hAnsi="Open Sans" w:cs="Open Sans"/>
          <w:sz w:val="20"/>
          <w:szCs w:val="20"/>
          <w:lang w:val="en-US"/>
        </w:rPr>
        <w:t>This focus is reflected in a strong, content-rich program. Across more than 20 themed sessions, industry experts will dive into current challenges and opportunities. Topics include the role of Energy Management Systems (EMS) as a cornerstone of a futureproof energy system, and the financial viability of heat pumps in renovation projects. The recycling of batteries, from residential to large-scale applications, is also on the agenda.</w:t>
      </w:r>
    </w:p>
    <w:p w14:paraId="69E37968" w14:textId="77777777" w:rsidR="004A385F" w:rsidRPr="0023052E" w:rsidRDefault="004A385F" w:rsidP="004A385F">
      <w:pPr>
        <w:rPr>
          <w:rFonts w:ascii="Open Sans" w:hAnsi="Open Sans" w:cs="Open Sans"/>
          <w:sz w:val="20"/>
          <w:szCs w:val="20"/>
          <w:lang w:val="en-US"/>
        </w:rPr>
      </w:pPr>
      <w:r w:rsidRPr="0023052E">
        <w:rPr>
          <w:rFonts w:ascii="Open Sans" w:hAnsi="Open Sans" w:cs="Open Sans"/>
          <w:sz w:val="20"/>
          <w:szCs w:val="20"/>
          <w:lang w:val="en-US"/>
        </w:rPr>
        <w:t>Additional sessions cover how grid flexibility translates to end users and examine evolving policy frameworks related to PV, energy storage, and EV infrastructure in Flanders. The common thread: how can we best align technology, regulations, and user needs?</w:t>
      </w:r>
    </w:p>
    <w:p w14:paraId="56B58164" w14:textId="4128B39E" w:rsidR="004A385F" w:rsidRPr="0023052E" w:rsidRDefault="004A385F" w:rsidP="004A385F">
      <w:pPr>
        <w:rPr>
          <w:rFonts w:ascii="Open Sans" w:hAnsi="Open Sans" w:cs="Open Sans"/>
          <w:sz w:val="20"/>
          <w:szCs w:val="20"/>
          <w:lang w:val="en-US"/>
        </w:rPr>
      </w:pPr>
      <w:r w:rsidRPr="0023052E">
        <w:rPr>
          <w:rFonts w:ascii="Open Sans" w:hAnsi="Open Sans" w:cs="Open Sans"/>
          <w:b/>
          <w:bCs/>
          <w:sz w:val="20"/>
          <w:szCs w:val="20"/>
          <w:lang w:val="en-US"/>
        </w:rPr>
        <w:t xml:space="preserve">Energy </w:t>
      </w:r>
      <w:r>
        <w:rPr>
          <w:rFonts w:ascii="Open Sans" w:hAnsi="Open Sans" w:cs="Open Sans"/>
          <w:b/>
          <w:bCs/>
          <w:sz w:val="20"/>
          <w:szCs w:val="20"/>
          <w:lang w:val="en-US"/>
        </w:rPr>
        <w:t>t</w:t>
      </w:r>
      <w:r w:rsidRPr="0023052E">
        <w:rPr>
          <w:rFonts w:ascii="Open Sans" w:hAnsi="Open Sans" w:cs="Open Sans"/>
          <w:b/>
          <w:bCs/>
          <w:sz w:val="20"/>
          <w:szCs w:val="20"/>
          <w:lang w:val="en-US"/>
        </w:rPr>
        <w:t xml:space="preserve">ransition in </w:t>
      </w:r>
      <w:r>
        <w:rPr>
          <w:rFonts w:ascii="Open Sans" w:hAnsi="Open Sans" w:cs="Open Sans"/>
          <w:b/>
          <w:bCs/>
          <w:sz w:val="20"/>
          <w:szCs w:val="20"/>
          <w:lang w:val="en-US"/>
        </w:rPr>
        <w:t>n</w:t>
      </w:r>
      <w:r w:rsidRPr="0023052E">
        <w:rPr>
          <w:rFonts w:ascii="Open Sans" w:hAnsi="Open Sans" w:cs="Open Sans"/>
          <w:b/>
          <w:bCs/>
          <w:sz w:val="20"/>
          <w:szCs w:val="20"/>
          <w:lang w:val="en-US"/>
        </w:rPr>
        <w:t>umbers</w:t>
      </w:r>
      <w:r>
        <w:rPr>
          <w:rFonts w:ascii="Open Sans" w:hAnsi="Open Sans" w:cs="Open Sans"/>
          <w:b/>
          <w:bCs/>
          <w:sz w:val="20"/>
          <w:szCs w:val="20"/>
          <w:lang w:val="en-US"/>
        </w:rPr>
        <w:br/>
      </w:r>
      <w:r w:rsidRPr="0023052E">
        <w:rPr>
          <w:rFonts w:ascii="Open Sans" w:hAnsi="Open Sans" w:cs="Open Sans"/>
          <w:sz w:val="20"/>
          <w:szCs w:val="20"/>
          <w:lang w:val="en-US"/>
        </w:rPr>
        <w:t>The urgency of the transition is clear from the data. In 2024, Belgium installed 1.9 GWp of solar capacity, bringing the total to 10.7 GWp. Another 1.3 GWp is expected in 2025. That puts the NECP goal of 15.6 GWp by 2030 well within reach</w:t>
      </w:r>
      <w:r>
        <w:rPr>
          <w:rFonts w:ascii="Open Sans" w:hAnsi="Open Sans" w:cs="Open Sans"/>
          <w:sz w:val="20"/>
          <w:szCs w:val="20"/>
          <w:lang w:val="en-US"/>
        </w:rPr>
        <w:t xml:space="preserve">, </w:t>
      </w:r>
      <w:r w:rsidRPr="0023052E">
        <w:rPr>
          <w:rFonts w:ascii="Open Sans" w:hAnsi="Open Sans" w:cs="Open Sans"/>
          <w:sz w:val="20"/>
          <w:szCs w:val="20"/>
          <w:lang w:val="en-US"/>
        </w:rPr>
        <w:t>with the IEA even forecasting up to 18.8 GWp.</w:t>
      </w:r>
    </w:p>
    <w:p w14:paraId="0C31C7C7" w14:textId="77777777" w:rsidR="004A385F" w:rsidRPr="0023052E" w:rsidRDefault="004A385F" w:rsidP="004A385F">
      <w:pPr>
        <w:rPr>
          <w:rFonts w:ascii="Open Sans" w:hAnsi="Open Sans" w:cs="Open Sans"/>
          <w:sz w:val="20"/>
          <w:szCs w:val="20"/>
          <w:lang w:val="en-US"/>
        </w:rPr>
      </w:pPr>
      <w:r w:rsidRPr="0023052E">
        <w:rPr>
          <w:rFonts w:ascii="Open Sans" w:hAnsi="Open Sans" w:cs="Open Sans"/>
          <w:sz w:val="20"/>
          <w:szCs w:val="20"/>
          <w:lang w:val="en-US"/>
        </w:rPr>
        <w:t>Energy storage is also growing rapidly: from 0.5 GWh today to a projected 7.7 GW of large-scale capacity by 2034. Meanwhile, electric vehicles are becoming mainstream, with 203,000 units sold in 2024, 135,000 of which were fully electric.</w:t>
      </w:r>
    </w:p>
    <w:p w14:paraId="6CC9C6BA" w14:textId="7944ADB6" w:rsidR="004A385F" w:rsidRPr="0023052E" w:rsidRDefault="004A385F" w:rsidP="004A385F">
      <w:pPr>
        <w:rPr>
          <w:rFonts w:ascii="Open Sans" w:hAnsi="Open Sans" w:cs="Open Sans"/>
          <w:sz w:val="20"/>
          <w:szCs w:val="20"/>
          <w:lang w:val="en-US"/>
        </w:rPr>
      </w:pPr>
      <w:r w:rsidRPr="0023052E">
        <w:rPr>
          <w:rFonts w:ascii="Open Sans" w:hAnsi="Open Sans" w:cs="Open Sans"/>
          <w:sz w:val="20"/>
          <w:szCs w:val="20"/>
          <w:lang w:val="en-US"/>
        </w:rPr>
        <w:t>Heat pumps remain a cornerstone of the energy transition, with 50,000 units sold in 2024. While that’s lower than the record year of 2023 (85,000 units), the market is expected to grow again</w:t>
      </w:r>
      <w:r>
        <w:rPr>
          <w:rFonts w:ascii="Open Sans" w:hAnsi="Open Sans" w:cs="Open Sans"/>
          <w:sz w:val="20"/>
          <w:szCs w:val="20"/>
          <w:lang w:val="en-US"/>
        </w:rPr>
        <w:t xml:space="preserve">, </w:t>
      </w:r>
      <w:r w:rsidRPr="0023052E">
        <w:rPr>
          <w:rFonts w:ascii="Open Sans" w:hAnsi="Open Sans" w:cs="Open Sans"/>
          <w:sz w:val="20"/>
          <w:szCs w:val="20"/>
          <w:lang w:val="en-US"/>
        </w:rPr>
        <w:t>driven by policy incentives and renovation needs. Together, these developments increase pressure on the grid, making system-level thinking essential.</w:t>
      </w:r>
    </w:p>
    <w:p w14:paraId="228A7B34" w14:textId="7DE28F37" w:rsidR="004A385F" w:rsidRPr="0023052E" w:rsidRDefault="004A385F" w:rsidP="004A385F">
      <w:pPr>
        <w:rPr>
          <w:rFonts w:ascii="Open Sans" w:hAnsi="Open Sans" w:cs="Open Sans"/>
          <w:sz w:val="20"/>
          <w:szCs w:val="20"/>
          <w:lang w:val="en-US"/>
        </w:rPr>
      </w:pPr>
      <w:r w:rsidRPr="0023052E">
        <w:rPr>
          <w:rFonts w:ascii="Open Sans" w:hAnsi="Open Sans" w:cs="Open Sans"/>
          <w:b/>
          <w:bCs/>
          <w:sz w:val="20"/>
          <w:szCs w:val="20"/>
          <w:lang w:val="en-US"/>
        </w:rPr>
        <w:t xml:space="preserve">From </w:t>
      </w:r>
      <w:r>
        <w:rPr>
          <w:rFonts w:ascii="Open Sans" w:hAnsi="Open Sans" w:cs="Open Sans"/>
          <w:b/>
          <w:bCs/>
          <w:sz w:val="20"/>
          <w:szCs w:val="20"/>
          <w:lang w:val="en-US"/>
        </w:rPr>
        <w:t>s</w:t>
      </w:r>
      <w:r w:rsidRPr="0023052E">
        <w:rPr>
          <w:rFonts w:ascii="Open Sans" w:hAnsi="Open Sans" w:cs="Open Sans"/>
          <w:b/>
          <w:bCs/>
          <w:sz w:val="20"/>
          <w:szCs w:val="20"/>
          <w:lang w:val="en-US"/>
        </w:rPr>
        <w:t xml:space="preserve">tandalone </w:t>
      </w:r>
      <w:r>
        <w:rPr>
          <w:rFonts w:ascii="Open Sans" w:hAnsi="Open Sans" w:cs="Open Sans"/>
          <w:b/>
          <w:bCs/>
          <w:sz w:val="20"/>
          <w:szCs w:val="20"/>
          <w:lang w:val="en-US"/>
        </w:rPr>
        <w:t>c</w:t>
      </w:r>
      <w:r w:rsidRPr="0023052E">
        <w:rPr>
          <w:rFonts w:ascii="Open Sans" w:hAnsi="Open Sans" w:cs="Open Sans"/>
          <w:b/>
          <w:bCs/>
          <w:sz w:val="20"/>
          <w:szCs w:val="20"/>
          <w:lang w:val="en-US"/>
        </w:rPr>
        <w:t xml:space="preserve">omponents to </w:t>
      </w:r>
      <w:r>
        <w:rPr>
          <w:rFonts w:ascii="Open Sans" w:hAnsi="Open Sans" w:cs="Open Sans"/>
          <w:b/>
          <w:bCs/>
          <w:sz w:val="20"/>
          <w:szCs w:val="20"/>
          <w:lang w:val="en-US"/>
        </w:rPr>
        <w:t>i</w:t>
      </w:r>
      <w:r w:rsidRPr="0023052E">
        <w:rPr>
          <w:rFonts w:ascii="Open Sans" w:hAnsi="Open Sans" w:cs="Open Sans"/>
          <w:b/>
          <w:bCs/>
          <w:sz w:val="20"/>
          <w:szCs w:val="20"/>
          <w:lang w:val="en-US"/>
        </w:rPr>
        <w:t xml:space="preserve">ntegrated </w:t>
      </w:r>
      <w:r>
        <w:rPr>
          <w:rFonts w:ascii="Open Sans" w:hAnsi="Open Sans" w:cs="Open Sans"/>
          <w:b/>
          <w:bCs/>
          <w:sz w:val="20"/>
          <w:szCs w:val="20"/>
          <w:lang w:val="en-US"/>
        </w:rPr>
        <w:t>s</w:t>
      </w:r>
      <w:r w:rsidRPr="0023052E">
        <w:rPr>
          <w:rFonts w:ascii="Open Sans" w:hAnsi="Open Sans" w:cs="Open Sans"/>
          <w:b/>
          <w:bCs/>
          <w:sz w:val="20"/>
          <w:szCs w:val="20"/>
          <w:lang w:val="en-US"/>
        </w:rPr>
        <w:t>olutions</w:t>
      </w:r>
      <w:r>
        <w:rPr>
          <w:rFonts w:ascii="Open Sans" w:hAnsi="Open Sans" w:cs="Open Sans"/>
          <w:b/>
          <w:bCs/>
          <w:sz w:val="20"/>
          <w:szCs w:val="20"/>
          <w:lang w:val="en-US"/>
        </w:rPr>
        <w:br/>
      </w:r>
      <w:r w:rsidRPr="0023052E">
        <w:rPr>
          <w:rFonts w:ascii="Open Sans" w:hAnsi="Open Sans" w:cs="Open Sans"/>
          <w:sz w:val="20"/>
          <w:szCs w:val="20"/>
          <w:lang w:val="en-US"/>
        </w:rPr>
        <w:t>Sustainable Solutions Kortrijk puts practice front and center. Plug &amp; play systems and smart technologies are redefining the roles of installers and energy professionals. At the same time, they reveal pain points</w:t>
      </w:r>
      <w:r>
        <w:rPr>
          <w:rFonts w:ascii="Open Sans" w:hAnsi="Open Sans" w:cs="Open Sans"/>
          <w:sz w:val="20"/>
          <w:szCs w:val="20"/>
          <w:lang w:val="en-US"/>
        </w:rPr>
        <w:t xml:space="preserve">, </w:t>
      </w:r>
      <w:r w:rsidRPr="0023052E">
        <w:rPr>
          <w:rFonts w:ascii="Open Sans" w:hAnsi="Open Sans" w:cs="Open Sans"/>
          <w:sz w:val="20"/>
          <w:szCs w:val="20"/>
          <w:lang w:val="en-US"/>
        </w:rPr>
        <w:t>such as the slow rollout of charging infrastructure due to limited coordination between public and private players.</w:t>
      </w:r>
    </w:p>
    <w:p w14:paraId="35A53C47" w14:textId="3664DA14" w:rsidR="004A385F" w:rsidRDefault="004A385F" w:rsidP="004A385F">
      <w:pPr>
        <w:rPr>
          <w:rFonts w:ascii="Open Sans" w:hAnsi="Open Sans" w:cs="Open Sans"/>
          <w:sz w:val="20"/>
          <w:szCs w:val="20"/>
          <w:lang w:val="en-US"/>
        </w:rPr>
      </w:pPr>
      <w:r w:rsidRPr="0023052E">
        <w:rPr>
          <w:rFonts w:ascii="Open Sans" w:hAnsi="Open Sans" w:cs="Open Sans"/>
          <w:sz w:val="20"/>
          <w:szCs w:val="20"/>
          <w:lang w:val="en-US"/>
        </w:rPr>
        <w:t xml:space="preserve">At the </w:t>
      </w:r>
      <w:r>
        <w:rPr>
          <w:rFonts w:ascii="Open Sans" w:hAnsi="Open Sans" w:cs="Open Sans"/>
          <w:sz w:val="20"/>
          <w:szCs w:val="20"/>
          <w:lang w:val="en-US"/>
        </w:rPr>
        <w:t>exhibition</w:t>
      </w:r>
      <w:r w:rsidRPr="0023052E">
        <w:rPr>
          <w:rFonts w:ascii="Open Sans" w:hAnsi="Open Sans" w:cs="Open Sans"/>
          <w:sz w:val="20"/>
          <w:szCs w:val="20"/>
          <w:lang w:val="en-US"/>
        </w:rPr>
        <w:t>, technologies like EMS, heat pumps, EV charging stations, and storage solutions are no longer presented in isolation, but as part of a cohesive, integrated ecosystem.</w:t>
      </w:r>
    </w:p>
    <w:p w14:paraId="31EDAF70" w14:textId="77777777" w:rsidR="004A385F" w:rsidRPr="0023052E" w:rsidRDefault="004A385F" w:rsidP="004A385F">
      <w:pPr>
        <w:rPr>
          <w:rFonts w:ascii="Open Sans" w:hAnsi="Open Sans" w:cs="Open Sans"/>
          <w:sz w:val="20"/>
          <w:szCs w:val="20"/>
          <w:lang w:val="en-US"/>
        </w:rPr>
      </w:pPr>
    </w:p>
    <w:p w14:paraId="4EE1E1EB" w14:textId="733C8BF1" w:rsidR="004A385F" w:rsidRPr="0023052E" w:rsidRDefault="004A385F" w:rsidP="004A385F">
      <w:pPr>
        <w:rPr>
          <w:rFonts w:ascii="Open Sans" w:hAnsi="Open Sans" w:cs="Open Sans"/>
          <w:b/>
          <w:bCs/>
          <w:sz w:val="20"/>
          <w:szCs w:val="20"/>
          <w:lang w:val="en-US"/>
        </w:rPr>
      </w:pPr>
      <w:r w:rsidRPr="0023052E">
        <w:rPr>
          <w:rFonts w:ascii="Open Sans" w:hAnsi="Open Sans" w:cs="Open Sans"/>
          <w:b/>
          <w:bCs/>
          <w:sz w:val="20"/>
          <w:szCs w:val="20"/>
          <w:lang w:val="en-US"/>
        </w:rPr>
        <w:lastRenderedPageBreak/>
        <w:t xml:space="preserve">Backed by the </w:t>
      </w:r>
      <w:r>
        <w:rPr>
          <w:rFonts w:ascii="Open Sans" w:hAnsi="Open Sans" w:cs="Open Sans"/>
          <w:b/>
          <w:bCs/>
          <w:sz w:val="20"/>
          <w:szCs w:val="20"/>
          <w:lang w:val="en-US"/>
        </w:rPr>
        <w:t>i</w:t>
      </w:r>
      <w:r w:rsidRPr="0023052E">
        <w:rPr>
          <w:rFonts w:ascii="Open Sans" w:hAnsi="Open Sans" w:cs="Open Sans"/>
          <w:b/>
          <w:bCs/>
          <w:sz w:val="20"/>
          <w:szCs w:val="20"/>
          <w:lang w:val="en-US"/>
        </w:rPr>
        <w:t xml:space="preserve">ndustry, </w:t>
      </w:r>
      <w:r>
        <w:rPr>
          <w:rFonts w:ascii="Open Sans" w:hAnsi="Open Sans" w:cs="Open Sans"/>
          <w:b/>
          <w:bCs/>
          <w:sz w:val="20"/>
          <w:szCs w:val="20"/>
          <w:lang w:val="en-US"/>
        </w:rPr>
        <w:t>s</w:t>
      </w:r>
      <w:r w:rsidRPr="0023052E">
        <w:rPr>
          <w:rFonts w:ascii="Open Sans" w:hAnsi="Open Sans" w:cs="Open Sans"/>
          <w:b/>
          <w:bCs/>
          <w:sz w:val="20"/>
          <w:szCs w:val="20"/>
          <w:lang w:val="en-US"/>
        </w:rPr>
        <w:t>haped by the Future</w:t>
      </w:r>
      <w:r>
        <w:rPr>
          <w:rFonts w:ascii="Open Sans" w:hAnsi="Open Sans" w:cs="Open Sans"/>
          <w:b/>
          <w:bCs/>
          <w:sz w:val="20"/>
          <w:szCs w:val="20"/>
          <w:lang w:val="en-US"/>
        </w:rPr>
        <w:br/>
      </w:r>
      <w:r w:rsidRPr="0023052E">
        <w:rPr>
          <w:rFonts w:ascii="Open Sans" w:hAnsi="Open Sans" w:cs="Open Sans"/>
          <w:sz w:val="20"/>
          <w:szCs w:val="20"/>
          <w:lang w:val="en-US"/>
        </w:rPr>
        <w:t xml:space="preserve">The </w:t>
      </w:r>
      <w:r w:rsidR="000A64E3">
        <w:rPr>
          <w:rFonts w:ascii="Open Sans" w:hAnsi="Open Sans" w:cs="Open Sans"/>
          <w:sz w:val="20"/>
          <w:szCs w:val="20"/>
          <w:lang w:val="en-US"/>
        </w:rPr>
        <w:t>exhibition</w:t>
      </w:r>
      <w:r w:rsidRPr="0023052E">
        <w:rPr>
          <w:rFonts w:ascii="Open Sans" w:hAnsi="Open Sans" w:cs="Open Sans"/>
          <w:sz w:val="20"/>
          <w:szCs w:val="20"/>
          <w:lang w:val="en-US"/>
        </w:rPr>
        <w:t xml:space="preserve"> is supported by strong sector partners including </w:t>
      </w:r>
      <w:r w:rsidRPr="0023052E">
        <w:rPr>
          <w:rFonts w:ascii="Open Sans" w:hAnsi="Open Sans" w:cs="Open Sans"/>
          <w:b/>
          <w:bCs/>
          <w:sz w:val="20"/>
          <w:szCs w:val="20"/>
          <w:lang w:val="en-US"/>
        </w:rPr>
        <w:t>ODE</w:t>
      </w:r>
      <w:r w:rsidRPr="0023052E">
        <w:rPr>
          <w:rFonts w:ascii="Open Sans" w:hAnsi="Open Sans" w:cs="Open Sans"/>
          <w:sz w:val="20"/>
          <w:szCs w:val="20"/>
          <w:lang w:val="en-US"/>
        </w:rPr>
        <w:t xml:space="preserve"> (with PV Vlaanderen, the Heat Pump Platform, and Warmtenetwerk Vlaanderen) and </w:t>
      </w:r>
      <w:r w:rsidRPr="0023052E">
        <w:rPr>
          <w:rFonts w:ascii="Open Sans" w:hAnsi="Open Sans" w:cs="Open Sans"/>
          <w:b/>
          <w:bCs/>
          <w:sz w:val="20"/>
          <w:szCs w:val="20"/>
          <w:lang w:val="en-US"/>
        </w:rPr>
        <w:t>EDORA</w:t>
      </w:r>
      <w:r w:rsidRPr="0023052E">
        <w:rPr>
          <w:rFonts w:ascii="Open Sans" w:hAnsi="Open Sans" w:cs="Open Sans"/>
          <w:sz w:val="20"/>
          <w:szCs w:val="20"/>
          <w:lang w:val="en-US"/>
        </w:rPr>
        <w:t>, the Walloon federation for renewable energy. Together, they help shape a program tailored to the sector’s needs—from installers to policymakers.</w:t>
      </w:r>
    </w:p>
    <w:p w14:paraId="4AA4E6C9" w14:textId="77777777" w:rsidR="004A385F" w:rsidRPr="0023052E" w:rsidRDefault="004A385F" w:rsidP="004A385F">
      <w:pPr>
        <w:rPr>
          <w:rFonts w:ascii="Open Sans" w:hAnsi="Open Sans" w:cs="Open Sans"/>
          <w:sz w:val="20"/>
          <w:szCs w:val="20"/>
          <w:lang w:val="en-US"/>
        </w:rPr>
      </w:pPr>
      <w:r w:rsidRPr="0023052E">
        <w:rPr>
          <w:rFonts w:ascii="Open Sans" w:hAnsi="Open Sans" w:cs="Open Sans"/>
          <w:sz w:val="20"/>
          <w:szCs w:val="20"/>
          <w:lang w:val="en-US"/>
        </w:rPr>
        <w:t xml:space="preserve">Professionals seeking a broader view can also visit </w:t>
      </w:r>
      <w:r w:rsidRPr="0023052E">
        <w:rPr>
          <w:rFonts w:ascii="Open Sans" w:hAnsi="Open Sans" w:cs="Open Sans"/>
          <w:b/>
          <w:bCs/>
          <w:sz w:val="20"/>
          <w:szCs w:val="20"/>
          <w:lang w:val="en-US"/>
        </w:rPr>
        <w:t>CleanTech Xpo</w:t>
      </w:r>
      <w:r w:rsidRPr="0023052E">
        <w:rPr>
          <w:rFonts w:ascii="Open Sans" w:hAnsi="Open Sans" w:cs="Open Sans"/>
          <w:sz w:val="20"/>
          <w:szCs w:val="20"/>
          <w:lang w:val="en-US"/>
        </w:rPr>
        <w:t>, taking place at the same venue. This new knowledge event focuses on environmental management, sustainable technologies for water, air, and soil, as well as circular economy, waste processing, hydrogen, and decarbonization. Visitors of Sustainable Solutions have free access to CleanTech Xpo with their badge. In October, Kortrijk Xpo becomes the go-to meeting place for anyone building the energy future.</w:t>
      </w:r>
    </w:p>
    <w:p w14:paraId="4FF9FF69" w14:textId="77D4A18D" w:rsidR="004A385F" w:rsidRPr="0023052E" w:rsidRDefault="004A385F" w:rsidP="004A385F">
      <w:pPr>
        <w:rPr>
          <w:rFonts w:ascii="Open Sans" w:hAnsi="Open Sans" w:cs="Open Sans"/>
          <w:b/>
          <w:bCs/>
          <w:sz w:val="20"/>
          <w:szCs w:val="20"/>
          <w:lang w:val="en-US"/>
        </w:rPr>
      </w:pPr>
      <w:r w:rsidRPr="0023052E">
        <w:rPr>
          <w:rFonts w:ascii="Open Sans" w:hAnsi="Open Sans" w:cs="Open Sans"/>
          <w:b/>
          <w:bCs/>
          <w:sz w:val="20"/>
          <w:szCs w:val="20"/>
          <w:lang w:val="en-US"/>
        </w:rPr>
        <w:t xml:space="preserve">Ticket </w:t>
      </w:r>
      <w:r>
        <w:rPr>
          <w:rFonts w:ascii="Open Sans" w:hAnsi="Open Sans" w:cs="Open Sans"/>
          <w:b/>
          <w:bCs/>
          <w:sz w:val="20"/>
          <w:szCs w:val="20"/>
          <w:lang w:val="en-US"/>
        </w:rPr>
        <w:t>r</w:t>
      </w:r>
      <w:r w:rsidRPr="0023052E">
        <w:rPr>
          <w:rFonts w:ascii="Open Sans" w:hAnsi="Open Sans" w:cs="Open Sans"/>
          <w:b/>
          <w:bCs/>
          <w:sz w:val="20"/>
          <w:szCs w:val="20"/>
          <w:lang w:val="en-US"/>
        </w:rPr>
        <w:t xml:space="preserve">egistration </w:t>
      </w:r>
      <w:r>
        <w:rPr>
          <w:rFonts w:ascii="Open Sans" w:hAnsi="Open Sans" w:cs="Open Sans"/>
          <w:b/>
          <w:bCs/>
          <w:sz w:val="20"/>
          <w:szCs w:val="20"/>
          <w:lang w:val="en-US"/>
        </w:rPr>
        <w:t>n</w:t>
      </w:r>
      <w:r w:rsidRPr="0023052E">
        <w:rPr>
          <w:rFonts w:ascii="Open Sans" w:hAnsi="Open Sans" w:cs="Open Sans"/>
          <w:b/>
          <w:bCs/>
          <w:sz w:val="20"/>
          <w:szCs w:val="20"/>
          <w:lang w:val="en-US"/>
        </w:rPr>
        <w:t xml:space="preserve">ow </w:t>
      </w:r>
      <w:r>
        <w:rPr>
          <w:rFonts w:ascii="Open Sans" w:hAnsi="Open Sans" w:cs="Open Sans"/>
          <w:b/>
          <w:bCs/>
          <w:sz w:val="20"/>
          <w:szCs w:val="20"/>
          <w:lang w:val="en-US"/>
        </w:rPr>
        <w:t>o</w:t>
      </w:r>
      <w:r w:rsidRPr="0023052E">
        <w:rPr>
          <w:rFonts w:ascii="Open Sans" w:hAnsi="Open Sans" w:cs="Open Sans"/>
          <w:b/>
          <w:bCs/>
          <w:sz w:val="20"/>
          <w:szCs w:val="20"/>
          <w:lang w:val="en-US"/>
        </w:rPr>
        <w:t>pen</w:t>
      </w:r>
      <w:r>
        <w:rPr>
          <w:rFonts w:ascii="Open Sans" w:hAnsi="Open Sans" w:cs="Open Sans"/>
          <w:b/>
          <w:bCs/>
          <w:sz w:val="20"/>
          <w:szCs w:val="20"/>
          <w:lang w:val="en-US"/>
        </w:rPr>
        <w:br/>
      </w:r>
      <w:r w:rsidRPr="0023052E">
        <w:rPr>
          <w:rFonts w:ascii="Open Sans" w:hAnsi="Open Sans" w:cs="Open Sans"/>
          <w:sz w:val="20"/>
          <w:szCs w:val="20"/>
          <w:lang w:val="en-US"/>
        </w:rPr>
        <w:t>Sustainable Solutions Kortrijk takes place on Wednesday 8 and Thursday 9 October 2025 at Kortrijk Xpo and is exclusively open to professionals in the renewable energy sector.</w:t>
      </w:r>
      <w:r>
        <w:rPr>
          <w:rFonts w:ascii="Open Sans" w:hAnsi="Open Sans" w:cs="Open Sans"/>
          <w:sz w:val="20"/>
          <w:szCs w:val="20"/>
          <w:lang w:val="en-US"/>
        </w:rPr>
        <w:t xml:space="preserve"> </w:t>
      </w:r>
      <w:r w:rsidRPr="0023052E">
        <w:rPr>
          <w:rFonts w:ascii="Open Sans" w:hAnsi="Open Sans" w:cs="Open Sans"/>
          <w:sz w:val="20"/>
          <w:szCs w:val="20"/>
          <w:lang w:val="en-US"/>
        </w:rPr>
        <w:t xml:space="preserve">Use the invitation code </w:t>
      </w:r>
      <w:r w:rsidRPr="0023052E">
        <w:rPr>
          <w:rFonts w:ascii="Open Sans" w:hAnsi="Open Sans" w:cs="Open Sans"/>
          <w:b/>
          <w:bCs/>
          <w:sz w:val="20"/>
          <w:szCs w:val="20"/>
          <w:lang w:val="en-US"/>
        </w:rPr>
        <w:t>INVITE25</w:t>
      </w:r>
      <w:r w:rsidRPr="0023052E">
        <w:rPr>
          <w:rFonts w:ascii="Open Sans" w:hAnsi="Open Sans" w:cs="Open Sans"/>
          <w:sz w:val="20"/>
          <w:szCs w:val="20"/>
          <w:lang w:val="en-US"/>
        </w:rPr>
        <w:t xml:space="preserve"> to register for free entry (or scan the QR code in our ads). Without a code, entry costs €75 excl. VAT per person.</w:t>
      </w:r>
      <w:r>
        <w:rPr>
          <w:rFonts w:ascii="Open Sans" w:hAnsi="Open Sans" w:cs="Open Sans"/>
          <w:sz w:val="20"/>
          <w:szCs w:val="20"/>
          <w:lang w:val="en-US"/>
        </w:rPr>
        <w:t xml:space="preserve"> </w:t>
      </w:r>
      <w:r w:rsidRPr="0023052E">
        <w:rPr>
          <w:rFonts w:ascii="Open Sans" w:hAnsi="Open Sans" w:cs="Open Sans"/>
          <w:sz w:val="20"/>
          <w:szCs w:val="20"/>
          <w:lang w:val="en-US"/>
        </w:rPr>
        <w:t xml:space="preserve">Find full program details and register at: </w:t>
      </w:r>
      <w:hyperlink r:id="rId8" w:history="1">
        <w:r w:rsidRPr="0023052E">
          <w:rPr>
            <w:rStyle w:val="Hyperlink"/>
            <w:rFonts w:ascii="Open Sans" w:hAnsi="Open Sans" w:cs="Open Sans"/>
            <w:sz w:val="20"/>
            <w:szCs w:val="20"/>
            <w:lang w:val="en-US"/>
          </w:rPr>
          <w:t>www.sustainablesolutionskortrijk.be</w:t>
        </w:r>
      </w:hyperlink>
    </w:p>
    <w:p w14:paraId="3D9B5DFA" w14:textId="7BF0622B" w:rsidR="004A385F" w:rsidRPr="004A385F" w:rsidRDefault="004A385F" w:rsidP="004A385F">
      <w:pPr>
        <w:rPr>
          <w:rFonts w:ascii="Open Sans" w:hAnsi="Open Sans" w:cs="Open Sans"/>
          <w:b/>
          <w:bCs/>
          <w:sz w:val="20"/>
          <w:szCs w:val="20"/>
          <w:lang w:val="en-US"/>
        </w:rPr>
      </w:pPr>
      <w:r w:rsidRPr="0023052E">
        <w:rPr>
          <w:rFonts w:ascii="Open Sans" w:hAnsi="Open Sans" w:cs="Open Sans"/>
          <w:b/>
          <w:bCs/>
          <w:sz w:val="20"/>
          <w:szCs w:val="20"/>
          <w:lang w:val="en-US"/>
        </w:rPr>
        <w:t>Practical Info</w:t>
      </w:r>
      <w:r>
        <w:rPr>
          <w:rFonts w:ascii="Open Sans" w:hAnsi="Open Sans" w:cs="Open Sans"/>
          <w:b/>
          <w:bCs/>
          <w:sz w:val="20"/>
          <w:szCs w:val="20"/>
          <w:lang w:val="en-US"/>
        </w:rPr>
        <w:br/>
      </w:r>
      <w:r w:rsidRPr="0023052E">
        <w:rPr>
          <w:rFonts w:ascii="Open Sans" w:hAnsi="Open Sans" w:cs="Open Sans"/>
          <w:sz w:val="20"/>
          <w:szCs w:val="20"/>
          <w:lang w:val="en-US"/>
        </w:rPr>
        <w:t xml:space="preserve">Sustainable Solutions Kortrijk – </w:t>
      </w:r>
      <w:r>
        <w:rPr>
          <w:rFonts w:ascii="Open Sans" w:hAnsi="Open Sans" w:cs="Open Sans"/>
          <w:sz w:val="20"/>
          <w:szCs w:val="20"/>
          <w:lang w:val="en-US"/>
        </w:rPr>
        <w:t>Exhibition</w:t>
      </w:r>
      <w:r w:rsidRPr="0023052E">
        <w:rPr>
          <w:rFonts w:ascii="Open Sans" w:hAnsi="Open Sans" w:cs="Open Sans"/>
          <w:sz w:val="20"/>
          <w:szCs w:val="20"/>
          <w:lang w:val="en-US"/>
        </w:rPr>
        <w:t xml:space="preserve"> for the renewable energy sector</w:t>
      </w:r>
      <w:r w:rsidRPr="0023052E">
        <w:rPr>
          <w:rFonts w:ascii="Open Sans" w:hAnsi="Open Sans" w:cs="Open Sans"/>
          <w:sz w:val="20"/>
          <w:szCs w:val="20"/>
          <w:lang w:val="en-US"/>
        </w:rPr>
        <w:br/>
        <w:t>Wednesday 8 October 2025: 10:00–19:00</w:t>
      </w:r>
      <w:r w:rsidRPr="0023052E">
        <w:rPr>
          <w:rFonts w:ascii="Open Sans" w:hAnsi="Open Sans" w:cs="Open Sans"/>
          <w:sz w:val="20"/>
          <w:szCs w:val="20"/>
          <w:lang w:val="en-US"/>
        </w:rPr>
        <w:br/>
        <w:t>Thursday 9 October 2025: 10:00–17:00</w:t>
      </w:r>
    </w:p>
    <w:p w14:paraId="21183E50" w14:textId="68264EC2" w:rsidR="004A385F" w:rsidRPr="0023052E" w:rsidRDefault="004A385F" w:rsidP="004A385F">
      <w:pPr>
        <w:rPr>
          <w:rFonts w:ascii="Open Sans" w:hAnsi="Open Sans" w:cs="Open Sans"/>
          <w:sz w:val="20"/>
          <w:szCs w:val="20"/>
        </w:rPr>
      </w:pPr>
      <w:r w:rsidRPr="0023052E">
        <w:rPr>
          <w:rFonts w:ascii="Open Sans" w:hAnsi="Open Sans" w:cs="Open Sans"/>
          <w:sz w:val="20"/>
          <w:szCs w:val="20"/>
        </w:rPr>
        <w:t>Kortrijk Xpo – Hall 4</w:t>
      </w:r>
      <w:r w:rsidRPr="0023052E">
        <w:rPr>
          <w:rFonts w:ascii="Open Sans" w:hAnsi="Open Sans" w:cs="Open Sans"/>
          <w:sz w:val="20"/>
          <w:szCs w:val="20"/>
        </w:rPr>
        <w:br/>
        <w:t>Doorniksesteenweg 216, 8500 Kortrijk/Courtrai</w:t>
      </w:r>
      <w:r w:rsidRPr="0023052E">
        <w:rPr>
          <w:rFonts w:ascii="Open Sans" w:hAnsi="Open Sans" w:cs="Open Sans"/>
          <w:sz w:val="20"/>
          <w:szCs w:val="20"/>
        </w:rPr>
        <w:br/>
      </w:r>
      <w:hyperlink r:id="rId9" w:history="1">
        <w:r w:rsidRPr="0023052E">
          <w:rPr>
            <w:rStyle w:val="Hyperlink"/>
            <w:rFonts w:ascii="Open Sans" w:hAnsi="Open Sans" w:cs="Open Sans"/>
            <w:sz w:val="20"/>
            <w:szCs w:val="20"/>
          </w:rPr>
          <w:t>www.sustainablesolutionskortrijk.be</w:t>
        </w:r>
      </w:hyperlink>
    </w:p>
    <w:p w14:paraId="1925734C" w14:textId="47A057C3" w:rsidR="004A385F" w:rsidRPr="004A385F" w:rsidRDefault="004A385F" w:rsidP="004A385F">
      <w:pPr>
        <w:rPr>
          <w:rFonts w:ascii="Open Sans" w:hAnsi="Open Sans" w:cs="Open Sans"/>
          <w:sz w:val="20"/>
          <w:szCs w:val="20"/>
          <w:lang w:val="en-US"/>
        </w:rPr>
      </w:pPr>
      <w:r w:rsidRPr="0023052E">
        <w:rPr>
          <w:rFonts w:ascii="Open Sans" w:hAnsi="Open Sans" w:cs="Open Sans"/>
          <w:b/>
          <w:bCs/>
          <w:sz w:val="20"/>
          <w:szCs w:val="20"/>
          <w:lang w:val="en-US"/>
        </w:rPr>
        <w:t xml:space="preserve">Press </w:t>
      </w:r>
      <w:r>
        <w:rPr>
          <w:rFonts w:ascii="Open Sans" w:hAnsi="Open Sans" w:cs="Open Sans"/>
          <w:b/>
          <w:bCs/>
          <w:sz w:val="20"/>
          <w:szCs w:val="20"/>
          <w:lang w:val="en-US"/>
        </w:rPr>
        <w:t>c</w:t>
      </w:r>
      <w:r w:rsidRPr="0023052E">
        <w:rPr>
          <w:rFonts w:ascii="Open Sans" w:hAnsi="Open Sans" w:cs="Open Sans"/>
          <w:b/>
          <w:bCs/>
          <w:sz w:val="20"/>
          <w:szCs w:val="20"/>
          <w:lang w:val="en-US"/>
        </w:rPr>
        <w:t>ontact</w:t>
      </w:r>
      <w:r>
        <w:rPr>
          <w:rFonts w:ascii="Open Sans" w:hAnsi="Open Sans" w:cs="Open Sans"/>
          <w:b/>
          <w:bCs/>
          <w:sz w:val="20"/>
          <w:szCs w:val="20"/>
          <w:lang w:val="en-US"/>
        </w:rPr>
        <w:br/>
      </w:r>
      <w:r w:rsidRPr="0023052E">
        <w:rPr>
          <w:rFonts w:ascii="Open Sans" w:hAnsi="Open Sans" w:cs="Open Sans"/>
          <w:sz w:val="20"/>
          <w:szCs w:val="20"/>
          <w:lang w:val="en-US"/>
        </w:rPr>
        <w:t xml:space="preserve">Annick Pycarelle - T. +32 (0)56 24 16 92 - E: </w:t>
      </w:r>
      <w:hyperlink r:id="rId10" w:history="1">
        <w:r w:rsidRPr="0023052E">
          <w:rPr>
            <w:rStyle w:val="Hyperlink"/>
            <w:rFonts w:ascii="Open Sans" w:hAnsi="Open Sans" w:cs="Open Sans"/>
            <w:sz w:val="20"/>
            <w:szCs w:val="20"/>
            <w:lang w:val="en-US"/>
          </w:rPr>
          <w:t>a.pycarelle@solarsolutionsinternational.com</w:t>
        </w:r>
      </w:hyperlink>
    </w:p>
    <w:p w14:paraId="48BDB0A4" w14:textId="77777777" w:rsidR="004A385F" w:rsidRPr="004A385F" w:rsidRDefault="004A385F">
      <w:pPr>
        <w:rPr>
          <w:lang w:val="en-US"/>
        </w:rPr>
      </w:pPr>
    </w:p>
    <w:sectPr w:rsidR="004A385F" w:rsidRPr="004A385F" w:rsidSect="004A385F">
      <w:pgSz w:w="11906" w:h="16838"/>
      <w:pgMar w:top="1417" w:right="1274"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Open Sans">
    <w:panose1 w:val="00000000000000000000"/>
    <w:charset w:val="00"/>
    <w:family w:val="auto"/>
    <w:pitch w:val="variable"/>
    <w:sig w:usb0="E00002FF" w:usb1="4000201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85F"/>
    <w:rsid w:val="00046040"/>
    <w:rsid w:val="000A64E3"/>
    <w:rsid w:val="004A385F"/>
    <w:rsid w:val="005C10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822A7"/>
  <w15:chartTrackingRefBased/>
  <w15:docId w15:val="{3F806529-5106-4D6B-9629-4951527D5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385F"/>
  </w:style>
  <w:style w:type="paragraph" w:styleId="Kop1">
    <w:name w:val="heading 1"/>
    <w:basedOn w:val="Standaard"/>
    <w:next w:val="Standaard"/>
    <w:link w:val="Kop1Char"/>
    <w:uiPriority w:val="9"/>
    <w:qFormat/>
    <w:rsid w:val="004A38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A38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A385F"/>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A385F"/>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A385F"/>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A385F"/>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A385F"/>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A385F"/>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A385F"/>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A385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A385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A385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A385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A385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A385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A385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A385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A385F"/>
    <w:rPr>
      <w:rFonts w:eastAsiaTheme="majorEastAsia" w:cstheme="majorBidi"/>
      <w:color w:val="272727" w:themeColor="text1" w:themeTint="D8"/>
    </w:rPr>
  </w:style>
  <w:style w:type="paragraph" w:styleId="Titel">
    <w:name w:val="Title"/>
    <w:basedOn w:val="Standaard"/>
    <w:next w:val="Standaard"/>
    <w:link w:val="TitelChar"/>
    <w:uiPriority w:val="10"/>
    <w:qFormat/>
    <w:rsid w:val="004A38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A385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A385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A385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A385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A385F"/>
    <w:rPr>
      <w:i/>
      <w:iCs/>
      <w:color w:val="404040" w:themeColor="text1" w:themeTint="BF"/>
    </w:rPr>
  </w:style>
  <w:style w:type="paragraph" w:styleId="Lijstalinea">
    <w:name w:val="List Paragraph"/>
    <w:basedOn w:val="Standaard"/>
    <w:uiPriority w:val="34"/>
    <w:qFormat/>
    <w:rsid w:val="004A385F"/>
    <w:pPr>
      <w:ind w:left="720"/>
      <w:contextualSpacing/>
    </w:pPr>
  </w:style>
  <w:style w:type="character" w:styleId="Intensievebenadrukking">
    <w:name w:val="Intense Emphasis"/>
    <w:basedOn w:val="Standaardalinea-lettertype"/>
    <w:uiPriority w:val="21"/>
    <w:qFormat/>
    <w:rsid w:val="004A385F"/>
    <w:rPr>
      <w:i/>
      <w:iCs/>
      <w:color w:val="0F4761" w:themeColor="accent1" w:themeShade="BF"/>
    </w:rPr>
  </w:style>
  <w:style w:type="paragraph" w:styleId="Duidelijkcitaat">
    <w:name w:val="Intense Quote"/>
    <w:basedOn w:val="Standaard"/>
    <w:next w:val="Standaard"/>
    <w:link w:val="DuidelijkcitaatChar"/>
    <w:uiPriority w:val="30"/>
    <w:qFormat/>
    <w:rsid w:val="004A38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A385F"/>
    <w:rPr>
      <w:i/>
      <w:iCs/>
      <w:color w:val="0F4761" w:themeColor="accent1" w:themeShade="BF"/>
    </w:rPr>
  </w:style>
  <w:style w:type="character" w:styleId="Intensieveverwijzing">
    <w:name w:val="Intense Reference"/>
    <w:basedOn w:val="Standaardalinea-lettertype"/>
    <w:uiPriority w:val="32"/>
    <w:qFormat/>
    <w:rsid w:val="004A385F"/>
    <w:rPr>
      <w:b/>
      <w:bCs/>
      <w:smallCaps/>
      <w:color w:val="0F4761" w:themeColor="accent1" w:themeShade="BF"/>
      <w:spacing w:val="5"/>
    </w:rPr>
  </w:style>
  <w:style w:type="character" w:styleId="Hyperlink">
    <w:name w:val="Hyperlink"/>
    <w:basedOn w:val="Standaardalinea-lettertype"/>
    <w:uiPriority w:val="99"/>
    <w:unhideWhenUsed/>
    <w:rsid w:val="004A385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ustainablesolutionskortrijk.be" TargetMode="External"/><Relationship Id="rId3" Type="http://schemas.openxmlformats.org/officeDocument/2006/relationships/customXml" Target="../customXml/item3.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a.pycarelle@solarsolutionsinternational.com" TargetMode="External"/><Relationship Id="rId4" Type="http://schemas.openxmlformats.org/officeDocument/2006/relationships/styles" Target="styles.xml"/><Relationship Id="rId9" Type="http://schemas.openxmlformats.org/officeDocument/2006/relationships/hyperlink" Target="http://www.sustainablesolutionskortrijk.be"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65f28e-9334-40d3-9d99-dc209d04c1e8">
      <Terms xmlns="http://schemas.microsoft.com/office/infopath/2007/PartnerControls"/>
    </lcf76f155ced4ddcb4097134ff3c332f>
    <_ip_UnifiedCompliancePolicyProperties xmlns="http://schemas.microsoft.com/sharepoint/v3" xsi:nil="true"/>
    <TaxCatchAll xmlns="e41f6a3f-326c-44bd-9555-64fed11629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34B10B58D46F428F9FC8D8A632612D" ma:contentTypeVersion="15" ma:contentTypeDescription="Een nieuw document maken." ma:contentTypeScope="" ma:versionID="d83093c87519a590dc307a6f9a8f95cf">
  <xsd:schema xmlns:xsd="http://www.w3.org/2001/XMLSchema" xmlns:xs="http://www.w3.org/2001/XMLSchema" xmlns:p="http://schemas.microsoft.com/office/2006/metadata/properties" xmlns:ns1="http://schemas.microsoft.com/sharepoint/v3" xmlns:ns2="a165f28e-9334-40d3-9d99-dc209d04c1e8" xmlns:ns3="e41f6a3f-326c-44bd-9555-64fed1162967" targetNamespace="http://schemas.microsoft.com/office/2006/metadata/properties" ma:root="true" ma:fieldsID="4df51a2652e48122145e6a531771c0d4" ns1:_="" ns2:_="" ns3:_="">
    <xsd:import namespace="http://schemas.microsoft.com/sharepoint/v3"/>
    <xsd:import namespace="a165f28e-9334-40d3-9d99-dc209d04c1e8"/>
    <xsd:import namespace="e41f6a3f-326c-44bd-9555-64fed11629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ppen van het geïntegreerd beleid voor naleving" ma:hidden="true" ma:internalName="_ip_UnifiedCompliancePolicyProperties">
      <xsd:simpleType>
        <xsd:restriction base="dms:Note"/>
      </xsd:simpleType>
    </xsd:element>
    <xsd:element name="_ip_UnifiedCompliancePolicyUIAction" ma:index="21"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5f28e-9334-40d3-9d99-dc209d04c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eead5c17-f285-4e67-9f80-9849fa9b1a45"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1f6a3f-326c-44bd-9555-64fed116296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a86cea2-8a84-4b75-890c-5e2c5efc6345}" ma:internalName="TaxCatchAll" ma:showField="CatchAllData" ma:web="e41f6a3f-326c-44bd-9555-64fed11629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41838B-D073-4150-B0AF-B7325ADA53FA}">
  <ds:schemaRefs>
    <ds:schemaRef ds:uri="http://schemas.microsoft.com/office/2006/metadata/properties"/>
    <ds:schemaRef ds:uri="http://schemas.microsoft.com/office/infopath/2007/PartnerControls"/>
    <ds:schemaRef ds:uri="http://schemas.microsoft.com/sharepoint/v3"/>
    <ds:schemaRef ds:uri="a165f28e-9334-40d3-9d99-dc209d04c1e8"/>
    <ds:schemaRef ds:uri="e41f6a3f-326c-44bd-9555-64fed1162967"/>
  </ds:schemaRefs>
</ds:datastoreItem>
</file>

<file path=customXml/itemProps2.xml><?xml version="1.0" encoding="utf-8"?>
<ds:datastoreItem xmlns:ds="http://schemas.openxmlformats.org/officeDocument/2006/customXml" ds:itemID="{47C0D587-6DBF-4359-9861-573E9E97B99C}">
  <ds:schemaRefs>
    <ds:schemaRef ds:uri="http://schemas.microsoft.com/sharepoint/v3/contenttype/forms"/>
  </ds:schemaRefs>
</ds:datastoreItem>
</file>

<file path=customXml/itemProps3.xml><?xml version="1.0" encoding="utf-8"?>
<ds:datastoreItem xmlns:ds="http://schemas.openxmlformats.org/officeDocument/2006/customXml" ds:itemID="{FFD58ACF-8B66-4272-8EA9-805FFE89C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5f28e-9334-40d3-9d99-dc209d04c1e8"/>
    <ds:schemaRef ds:uri="e41f6a3f-326c-44bd-9555-64fed1162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701</Words>
  <Characters>3861</Characters>
  <Application>Microsoft Office Word</Application>
  <DocSecurity>0</DocSecurity>
  <Lines>32</Lines>
  <Paragraphs>9</Paragraphs>
  <ScaleCrop>false</ScaleCrop>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Groot</dc:creator>
  <cp:keywords/>
  <dc:description/>
  <cp:lastModifiedBy>Ruben Bugter</cp:lastModifiedBy>
  <cp:revision>2</cp:revision>
  <dcterms:created xsi:type="dcterms:W3CDTF">2025-07-17T13:56:00Z</dcterms:created>
  <dcterms:modified xsi:type="dcterms:W3CDTF">2025-07-21T10:24:00Z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0x0101004634B10B58D46F428F9FC8D8A632612D</vt:lpwstr>
  </property>
  <property fmtid="{D5CDD505-2E9C-101B-9397-08002B2CF9AE}" pid="3" name="MediaServiceImageTags">
    <vt:lpwstr/>
  </property>
</Properties>
</file>